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西安市第三十八中学阅览室建设(四次)竞争性磋商公告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阅览室建设(四次)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2026年06月04日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项目编号：ZJXG2025049.1B5</w:t>
      </w:r>
    </w:p>
    <w:p>
      <w:pPr>
        <w:pStyle w:val="null3"/>
      </w:pPr>
      <w:r>
        <w:rPr>
          <w:rFonts w:ascii="仿宋_GB2312" w:hAnsi="仿宋_GB2312" w:cs="仿宋_GB2312" w:eastAsia="仿宋_GB2312"/>
        </w:rPr>
        <w:t>项目名称：阅览室建设(四次)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预算金额：838,652.28元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采购包1：自合同签订之日起50天</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合同包1(阅览室建设)落实政府采购政策需满足的资格要求如下:</w:t>
      </w:r>
    </w:p>
    <w:p>
      <w:pPr>
        <w:pStyle w:val="null3"/>
        <w:ind w:left="480"/>
      </w:pPr>
      <w:r>
        <w:rPr>
          <w:rFonts w:ascii="仿宋_GB2312" w:hAnsi="仿宋_GB2312" w:cs="仿宋_GB2312" w:eastAsia="仿宋_GB2312"/>
        </w:rPr>
        <w:t>参与的供应商（联合体）工程的施工单位全部为符合政策要求的中小企业。</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合同包1(阅览室建设)特定资格要求如下: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2023或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(3)提供2024年1月至今已缴纳的1个月的纳税证明或完税证明，依法免税的单位应提供相关证明材料。此项可提供基本资格条件承诺函。供应商需在项目电子化交易系统中按要求上传相应证明文件并进行电子签章；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2024年1月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单位负责人）授权委托书（附法定代表人（单位负责人）、被授权人身份证复印件及被授权人近三个月在本单位社保缴纳的证明资料）（法定代表人（单位负责人）直接参加的，须提供法定代表人（单位负责人）身份证明书及身份证复印件且与营业执照上信息须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(8)供应商具有建设行政主管部门颁发的有效期内的钢结构工程专业承包三级及以上资质，且具备有效的安全生产许可证。供应商需在项目电子化交易系统中按要求上传相应证明文件并进行电子签章；</w:t>
      </w:r>
    </w:p>
    <w:p>
      <w:pPr>
        <w:pStyle w:val="null3"/>
      </w:pPr>
      <w:r>
        <w:rPr>
          <w:rFonts w:ascii="仿宋_GB2312" w:hAnsi="仿宋_GB2312" w:cs="仿宋_GB2312" w:eastAsia="仿宋_GB2312"/>
        </w:rPr>
        <w:t>(9)拟派项目经理须具备二级及以上注册建造师证书。专业：建筑工程。补充说明：同时具备有效期内的安全生产考核合格证书（安B证），本单位注册且无在建项目（提供承诺书）。供应商需在项目电子化交易系统中按要求上传相应证明文件并进行电子签章；</w:t>
      </w:r>
    </w:p>
    <w:p>
      <w:pPr>
        <w:pStyle w:val="null3"/>
      </w:pPr>
      <w:r>
        <w:rPr>
          <w:rFonts w:ascii="仿宋_GB2312" w:hAnsi="仿宋_GB2312" w:cs="仿宋_GB2312" w:eastAsia="仿宋_GB2312"/>
        </w:rPr>
        <w:t>(10)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(11)①单位负责人为同一人或者存在直接控股、管理关系的不同供应商不得参加同一合同项下的政府采购活动。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(12)本合同包为专门面向中小企业采购（提供中小企业声明函或监狱企业的证明文件或残疾人福利性单位声明函）。供应商需在项目电子化交易系统中按要求上传相应证明文件并进行电子签章；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(13)本项目不接受联合体投标，供应商需在项目电子化交易系统中按要求上传相应证明文件并进行电子签章。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2026年05月23日 </w:t>
      </w:r>
      <w:r>
        <w:rPr>
          <w:rFonts w:ascii="仿宋_GB2312" w:hAnsi="仿宋_GB2312" w:cs="仿宋_GB2312" w:eastAsia="仿宋_GB2312"/>
        </w:rPr>
        <w:t>至</w:t>
      </w:r>
      <w:r>
        <w:rPr>
          <w:rFonts w:ascii="仿宋_GB2312" w:hAnsi="仿宋_GB2312" w:cs="仿宋_GB2312" w:eastAsia="仿宋_GB2312"/>
        </w:rPr>
        <w:t xml:space="preserve"> 2026年05月29日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2026年06月04日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2026年06月04日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rPr>
        <w:t>16）《国务院办公厅关于在政府采购中实施本国产品标准及相关政策的通知》（国办发〔2025〕34号）；</w:t>
      </w:r>
    </w:p>
    <w:p>
      <w:pPr>
        <w:pStyle w:val="null3"/>
      </w:pPr>
      <w:r>
        <w:rPr>
          <w:rFonts w:ascii="仿宋_GB2312" w:hAnsi="仿宋_GB2312" w:cs="仿宋_GB2312" w:eastAsia="仿宋_GB2312"/>
        </w:rPr>
        <w:t>17）《关于推动解决政府采购异常低价问题的通知》(财库〔2026〕2号)；</w:t>
      </w:r>
    </w:p>
    <w:p>
      <w:pPr>
        <w:pStyle w:val="null3"/>
      </w:pPr>
      <w:r>
        <w:rPr>
          <w:rFonts w:ascii="仿宋_GB2312" w:hAnsi="仿宋_GB2312" w:cs="仿宋_GB2312" w:eastAsia="仿宋_GB2312"/>
        </w:rPr>
        <w:t>18）其他需要落实的政府采购政策。</w:t>
      </w:r>
    </w:p>
    <w:p>
      <w:pPr>
        <w:pStyle w:val="null3"/>
      </w:pPr>
      <w:r>
        <w:rPr>
          <w:rFonts w:ascii="仿宋_GB2312" w:hAnsi="仿宋_GB2312" w:cs="仿宋_GB2312" w:eastAsia="仿宋_GB2312"/>
        </w:rPr>
        <w:t>（八）其他：</w:t>
      </w:r>
    </w:p>
    <w:p>
      <w:pPr>
        <w:pStyle w:val="null3"/>
      </w:pPr>
      <w:r>
        <w:rPr>
          <w:rFonts w:ascii="仿宋_GB2312" w:hAnsi="仿宋_GB2312" w:cs="仿宋_GB2312" w:eastAsia="仿宋_GB2312"/>
        </w:rPr>
        <w:t>询问、质疑、投诉的接收和处理严格按照《中华人民共和国政府采购法》《中华人民共和国政府采购法实施条例》《政府采购质疑和投诉办法》等规定办理。供应商对采购人或代理机构的质疑答复不满意，或者采购人或代理机构未在规定期限内作出答复的，可以在答复期满后15个工作日内向同级财政部门提起投诉。 根据《陕西省财政厅关于在全省开展电子化投诉工作有关事项的通知》（陕财办采函〔2022〕15 号），政府采购供应商可登录“陕西省政府采购综合管理平台”系统进行线上投诉。</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西安市第三十八中学</w:t>
      </w:r>
    </w:p>
    <w:p>
      <w:pPr>
        <w:pStyle w:val="null3"/>
      </w:pPr>
      <w:r>
        <w:rPr>
          <w:rFonts w:ascii="仿宋_GB2312" w:hAnsi="仿宋_GB2312" w:cs="仿宋_GB2312" w:eastAsia="仿宋_GB2312"/>
        </w:rPr>
        <w:t>地址：</w:t>
      </w:r>
      <w:r>
        <w:rPr>
          <w:rFonts w:ascii="仿宋_GB2312" w:hAnsi="仿宋_GB2312" w:cs="仿宋_GB2312" w:eastAsia="仿宋_GB2312"/>
        </w:rPr>
        <w:t>西安市太华南路226号</w:t>
      </w:r>
    </w:p>
    <w:p>
      <w:pPr>
        <w:pStyle w:val="null3"/>
      </w:pPr>
      <w:r>
        <w:rPr>
          <w:rFonts w:ascii="仿宋_GB2312" w:hAnsi="仿宋_GB2312" w:cs="仿宋_GB2312" w:eastAsia="仿宋_GB2312"/>
        </w:rPr>
        <w:t>联系方式：</w:t>
      </w:r>
      <w:r>
        <w:rPr>
          <w:rFonts w:ascii="仿宋_GB2312" w:hAnsi="仿宋_GB2312" w:cs="仿宋_GB2312" w:eastAsia="仿宋_GB2312"/>
        </w:rPr>
        <w:t>029-86350069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陕西中鉴项目管理有限公司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陕西省西安市未央区未央路109号万象未央1号楼506室</w:t>
      </w:r>
    </w:p>
    <w:p>
      <w:pPr>
        <w:pStyle w:val="null3"/>
      </w:pPr>
      <w:r>
        <w:rPr>
          <w:rFonts w:ascii="仿宋_GB2312" w:hAnsi="仿宋_GB2312" w:cs="仿宋_GB2312" w:eastAsia="仿宋_GB2312"/>
        </w:rPr>
        <w:t>联系方式：</w:t>
      </w:r>
      <w:r>
        <w:rPr>
          <w:rFonts w:ascii="仿宋_GB2312" w:hAnsi="仿宋_GB2312" w:cs="仿宋_GB2312" w:eastAsia="仿宋_GB2312"/>
        </w:rPr>
        <w:t>029-88229191</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曹增辉</w:t>
      </w:r>
    </w:p>
    <w:p>
      <w:pPr>
        <w:pStyle w:val="null3"/>
      </w:pPr>
      <w:r>
        <w:rPr>
          <w:rFonts w:ascii="仿宋_GB2312" w:hAnsi="仿宋_GB2312" w:cs="仿宋_GB2312" w:eastAsia="仿宋_GB2312"/>
        </w:rPr>
        <w:t>电话：</w:t>
      </w:r>
      <w:r>
        <w:rPr>
          <w:rFonts w:ascii="仿宋_GB2312" w:hAnsi="仿宋_GB2312" w:cs="仿宋_GB2312" w:eastAsia="仿宋_GB2312"/>
        </w:rPr>
        <w:t>029-88229191</w:t>
      </w:r>
    </w:p>
    <w:p>
      <w:pPr>
        <w:pStyle w:val="null3"/>
        <w:jc w:val="right"/>
      </w:pPr>
      <w:r>
        <w:rPr>
          <w:rFonts w:ascii="仿宋_GB2312" w:hAnsi="仿宋_GB2312" w:cs="仿宋_GB2312" w:eastAsia="仿宋_GB2312"/>
        </w:rPr>
        <w:t>陕西中鉴项目管理有限公司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